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D8" w:rsidRDefault="00AD761B" w:rsidP="00EB5055">
      <w:pPr>
        <w:pStyle w:val="a3"/>
        <w:kinsoku w:val="0"/>
        <w:overflowPunct w:val="0"/>
        <w:spacing w:before="0" w:line="403" w:lineRule="exact"/>
        <w:ind w:left="468"/>
        <w:rPr>
          <w:b/>
          <w:bCs/>
          <w:w w:val="95"/>
          <w:sz w:val="32"/>
          <w:szCs w:val="32"/>
        </w:rPr>
      </w:pPr>
      <w:r>
        <w:rPr>
          <w:rFonts w:hint="eastAsia"/>
          <w:b/>
          <w:bCs/>
          <w:w w:val="95"/>
          <w:sz w:val="32"/>
          <w:szCs w:val="32"/>
        </w:rPr>
        <w:t>國立澎湖科技大學海洋資源暨工程學院教師聘任及升等審查準則</w:t>
      </w:r>
    </w:p>
    <w:p w:rsidR="00EB5055" w:rsidRPr="00EF6C9C" w:rsidRDefault="00AD761B" w:rsidP="00F82806">
      <w:pPr>
        <w:pStyle w:val="a3"/>
        <w:kinsoku w:val="0"/>
        <w:overflowPunct w:val="0"/>
        <w:spacing w:before="248" w:line="180" w:lineRule="auto"/>
        <w:ind w:left="4496" w:rightChars="-11" w:right="-26"/>
        <w:jc w:val="right"/>
        <w:rPr>
          <w:sz w:val="22"/>
        </w:rPr>
      </w:pPr>
      <w:r w:rsidRPr="00EF6C9C">
        <w:rPr>
          <w:rFonts w:ascii="Times New Roman" w:cs="Times New Roman"/>
          <w:sz w:val="22"/>
        </w:rPr>
        <w:t>98</w:t>
      </w:r>
      <w:r w:rsidRPr="00EF6C9C">
        <w:rPr>
          <w:rFonts w:hint="eastAsia"/>
          <w:spacing w:val="-30"/>
          <w:sz w:val="22"/>
        </w:rPr>
        <w:t>年</w:t>
      </w:r>
      <w:r w:rsidRPr="00EF6C9C">
        <w:rPr>
          <w:rFonts w:ascii="Times New Roman" w:cs="Times New Roman"/>
          <w:sz w:val="22"/>
        </w:rPr>
        <w:t>11</w:t>
      </w:r>
      <w:r w:rsidRPr="00EF6C9C">
        <w:rPr>
          <w:rFonts w:hint="eastAsia"/>
          <w:spacing w:val="-30"/>
          <w:sz w:val="22"/>
        </w:rPr>
        <w:t>月</w:t>
      </w:r>
      <w:r w:rsidRPr="00EF6C9C">
        <w:rPr>
          <w:rFonts w:ascii="Times New Roman" w:cs="Times New Roman"/>
          <w:sz w:val="22"/>
        </w:rPr>
        <w:t>24</w:t>
      </w:r>
      <w:r w:rsidRPr="00EF6C9C">
        <w:rPr>
          <w:rFonts w:hint="eastAsia"/>
          <w:spacing w:val="-20"/>
          <w:sz w:val="22"/>
        </w:rPr>
        <w:t>日</w:t>
      </w:r>
      <w:r w:rsidRPr="00EF6C9C">
        <w:rPr>
          <w:rFonts w:hint="eastAsia"/>
          <w:sz w:val="22"/>
        </w:rPr>
        <w:t>院教評會會議通過</w:t>
      </w:r>
    </w:p>
    <w:p w:rsidR="005740D8" w:rsidRPr="00EF6C9C" w:rsidRDefault="00AD761B" w:rsidP="00F82806">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 xml:space="preserve">94 </w:t>
      </w:r>
      <w:r w:rsidRPr="00EF6C9C">
        <w:rPr>
          <w:rFonts w:hint="eastAsia"/>
          <w:spacing w:val="-30"/>
          <w:sz w:val="22"/>
        </w:rPr>
        <w:t>年</w:t>
      </w:r>
      <w:r w:rsidRPr="00EF6C9C">
        <w:rPr>
          <w:rFonts w:ascii="Times New Roman" w:cs="Times New Roman"/>
          <w:sz w:val="22"/>
        </w:rPr>
        <w:t>12</w:t>
      </w:r>
      <w:r w:rsidRPr="00EF6C9C">
        <w:rPr>
          <w:rFonts w:hint="eastAsia"/>
          <w:spacing w:val="-30"/>
          <w:sz w:val="22"/>
        </w:rPr>
        <w:t>月</w:t>
      </w:r>
      <w:r w:rsidRPr="00EF6C9C">
        <w:rPr>
          <w:rFonts w:ascii="Times New Roman" w:cs="Times New Roman"/>
          <w:sz w:val="22"/>
        </w:rPr>
        <w:t>21</w:t>
      </w:r>
      <w:r w:rsidRPr="00EF6C9C">
        <w:rPr>
          <w:rFonts w:hint="eastAsia"/>
          <w:spacing w:val="-20"/>
          <w:sz w:val="22"/>
        </w:rPr>
        <w:t>日</w:t>
      </w:r>
      <w:r w:rsidRPr="00EF6C9C">
        <w:rPr>
          <w:rFonts w:hint="eastAsia"/>
          <w:sz w:val="22"/>
        </w:rPr>
        <w:t>院務會議通過</w:t>
      </w:r>
    </w:p>
    <w:p w:rsidR="00EF6C9C" w:rsidRPr="00EF6C9C" w:rsidRDefault="00AD761B" w:rsidP="00F82806">
      <w:pPr>
        <w:pStyle w:val="a3"/>
        <w:kinsoku w:val="0"/>
        <w:overflowPunct w:val="0"/>
        <w:spacing w:before="1" w:line="240" w:lineRule="exact"/>
        <w:ind w:left="4496" w:rightChars="-11" w:right="-26" w:firstLine="240"/>
        <w:jc w:val="right"/>
        <w:rPr>
          <w:sz w:val="22"/>
        </w:rPr>
      </w:pPr>
      <w:r w:rsidRPr="00EF6C9C">
        <w:rPr>
          <w:rFonts w:ascii="Times New Roman" w:cs="Times New Roman"/>
          <w:sz w:val="22"/>
        </w:rPr>
        <w:t>94</w:t>
      </w:r>
      <w:r w:rsidRPr="00EF6C9C">
        <w:rPr>
          <w:rFonts w:hint="eastAsia"/>
          <w:spacing w:val="-30"/>
          <w:sz w:val="22"/>
        </w:rPr>
        <w:t>年</w:t>
      </w:r>
      <w:r w:rsidRPr="00EF6C9C">
        <w:rPr>
          <w:rFonts w:ascii="Times New Roman" w:cs="Times New Roman"/>
          <w:sz w:val="22"/>
        </w:rPr>
        <w:t>12</w:t>
      </w:r>
      <w:r w:rsidRPr="00EF6C9C">
        <w:rPr>
          <w:rFonts w:hint="eastAsia"/>
          <w:spacing w:val="-30"/>
          <w:sz w:val="22"/>
        </w:rPr>
        <w:t>月</w:t>
      </w:r>
      <w:r w:rsidRPr="00EF6C9C">
        <w:rPr>
          <w:rFonts w:ascii="Times New Roman" w:cs="Times New Roman"/>
          <w:sz w:val="22"/>
        </w:rPr>
        <w:t>28</w:t>
      </w:r>
      <w:r w:rsidR="00F82806">
        <w:rPr>
          <w:rFonts w:hint="eastAsia"/>
          <w:spacing w:val="-30"/>
          <w:sz w:val="22"/>
        </w:rPr>
        <w:t>日</w:t>
      </w:r>
      <w:r w:rsidRPr="00EF6C9C">
        <w:rPr>
          <w:rFonts w:hint="eastAsia"/>
          <w:sz w:val="22"/>
        </w:rPr>
        <w:t>校教評會修正通過</w:t>
      </w:r>
    </w:p>
    <w:p w:rsidR="005740D8" w:rsidRPr="00EF6C9C" w:rsidRDefault="00AD761B" w:rsidP="00F82806">
      <w:pPr>
        <w:pStyle w:val="a3"/>
        <w:kinsoku w:val="0"/>
        <w:overflowPunct w:val="0"/>
        <w:spacing w:before="1" w:line="240" w:lineRule="exact"/>
        <w:ind w:left="4496" w:rightChars="-11" w:right="-26" w:firstLine="240"/>
        <w:jc w:val="right"/>
        <w:rPr>
          <w:sz w:val="22"/>
        </w:rPr>
      </w:pPr>
      <w:r w:rsidRPr="00EF6C9C">
        <w:rPr>
          <w:rFonts w:ascii="Times New Roman" w:cs="Times New Roman"/>
          <w:sz w:val="22"/>
        </w:rPr>
        <w:t>98</w:t>
      </w:r>
      <w:r w:rsidRPr="00EF6C9C">
        <w:rPr>
          <w:rFonts w:hint="eastAsia"/>
          <w:spacing w:val="-30"/>
          <w:sz w:val="22"/>
        </w:rPr>
        <w:t>年</w:t>
      </w:r>
      <w:r w:rsidRPr="00EF6C9C">
        <w:rPr>
          <w:rFonts w:ascii="Times New Roman" w:cs="Times New Roman"/>
          <w:sz w:val="22"/>
        </w:rPr>
        <w:t>12</w:t>
      </w:r>
      <w:r w:rsidRPr="00EF6C9C">
        <w:rPr>
          <w:rFonts w:hint="eastAsia"/>
          <w:spacing w:val="-30"/>
          <w:sz w:val="22"/>
        </w:rPr>
        <w:t>月</w:t>
      </w:r>
      <w:r w:rsidRPr="00EF6C9C">
        <w:rPr>
          <w:rFonts w:ascii="Times New Roman" w:cs="Times New Roman"/>
          <w:sz w:val="22"/>
        </w:rPr>
        <w:t>21</w:t>
      </w:r>
      <w:r w:rsidRPr="00EF6C9C">
        <w:rPr>
          <w:rFonts w:hint="eastAsia"/>
          <w:spacing w:val="-20"/>
          <w:sz w:val="22"/>
        </w:rPr>
        <w:t>日</w:t>
      </w:r>
      <w:r w:rsidRPr="00EF6C9C">
        <w:rPr>
          <w:rFonts w:hint="eastAsia"/>
          <w:sz w:val="22"/>
        </w:rPr>
        <w:t>院務會議通過</w:t>
      </w:r>
    </w:p>
    <w:p w:rsidR="00EB5055" w:rsidRPr="00EF6C9C" w:rsidRDefault="00AD761B" w:rsidP="00F82806">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99</w:t>
      </w:r>
      <w:r w:rsidRPr="00EF6C9C">
        <w:rPr>
          <w:rFonts w:hint="eastAsia"/>
          <w:spacing w:val="-30"/>
          <w:sz w:val="22"/>
        </w:rPr>
        <w:t>年</w:t>
      </w:r>
      <w:r w:rsidRPr="00EF6C9C">
        <w:rPr>
          <w:rFonts w:ascii="Times New Roman" w:cs="Times New Roman"/>
          <w:sz w:val="22"/>
        </w:rPr>
        <w:t>1</w:t>
      </w:r>
      <w:r w:rsidRPr="00EF6C9C">
        <w:rPr>
          <w:rFonts w:hint="eastAsia"/>
          <w:spacing w:val="-30"/>
          <w:sz w:val="22"/>
        </w:rPr>
        <w:t>月</w:t>
      </w:r>
      <w:r w:rsidRPr="00EF6C9C">
        <w:rPr>
          <w:rFonts w:ascii="Times New Roman" w:cs="Times New Roman"/>
          <w:sz w:val="22"/>
        </w:rPr>
        <w:t>14</w:t>
      </w:r>
      <w:r w:rsidRPr="00EF6C9C">
        <w:rPr>
          <w:rFonts w:hint="eastAsia"/>
          <w:spacing w:val="-20"/>
          <w:sz w:val="22"/>
        </w:rPr>
        <w:t>日</w:t>
      </w:r>
      <w:r w:rsidRPr="00EF6C9C">
        <w:rPr>
          <w:rFonts w:hint="eastAsia"/>
          <w:sz w:val="22"/>
        </w:rPr>
        <w:t>校教評會議通過</w:t>
      </w:r>
    </w:p>
    <w:p w:rsidR="00EB5055" w:rsidRPr="00EF6C9C" w:rsidRDefault="00AD761B" w:rsidP="00A67098">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100</w:t>
      </w:r>
      <w:r w:rsidRPr="00EF6C9C">
        <w:rPr>
          <w:rFonts w:hint="eastAsia"/>
          <w:spacing w:val="-30"/>
          <w:sz w:val="22"/>
        </w:rPr>
        <w:t>年</w:t>
      </w:r>
      <w:r w:rsidRPr="00EF6C9C">
        <w:rPr>
          <w:rFonts w:ascii="Times New Roman" w:cs="Times New Roman"/>
          <w:sz w:val="22"/>
        </w:rPr>
        <w:t>5</w:t>
      </w:r>
      <w:r w:rsidRPr="00EF6C9C">
        <w:rPr>
          <w:rFonts w:hint="eastAsia"/>
          <w:spacing w:val="-30"/>
          <w:sz w:val="22"/>
        </w:rPr>
        <w:t>月</w:t>
      </w:r>
      <w:r w:rsidRPr="00EF6C9C">
        <w:rPr>
          <w:rFonts w:ascii="Times New Roman" w:cs="Times New Roman"/>
          <w:sz w:val="22"/>
        </w:rPr>
        <w:t>26</w:t>
      </w:r>
      <w:r w:rsidRPr="00EF6C9C">
        <w:rPr>
          <w:rFonts w:hint="eastAsia"/>
          <w:spacing w:val="-20"/>
          <w:sz w:val="22"/>
        </w:rPr>
        <w:t>日</w:t>
      </w:r>
      <w:r w:rsidRPr="00EF6C9C">
        <w:rPr>
          <w:rFonts w:hint="eastAsia"/>
          <w:sz w:val="22"/>
        </w:rPr>
        <w:t>院教會議通過</w:t>
      </w:r>
    </w:p>
    <w:p w:rsidR="00EB5055" w:rsidRPr="00EF6C9C" w:rsidRDefault="00AD761B" w:rsidP="00A67098">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100</w:t>
      </w:r>
      <w:r w:rsidRPr="00EF6C9C">
        <w:rPr>
          <w:rFonts w:hint="eastAsia"/>
          <w:spacing w:val="-30"/>
          <w:sz w:val="22"/>
        </w:rPr>
        <w:t>年</w:t>
      </w:r>
      <w:r w:rsidRPr="00EF6C9C">
        <w:rPr>
          <w:rFonts w:ascii="Times New Roman" w:cs="Times New Roman"/>
          <w:sz w:val="22"/>
        </w:rPr>
        <w:t>6</w:t>
      </w:r>
      <w:r w:rsidRPr="00EF6C9C">
        <w:rPr>
          <w:rFonts w:hint="eastAsia"/>
          <w:spacing w:val="-30"/>
          <w:sz w:val="22"/>
        </w:rPr>
        <w:t>月</w:t>
      </w:r>
      <w:r w:rsidRPr="00EF6C9C">
        <w:rPr>
          <w:rFonts w:ascii="Times New Roman" w:cs="Times New Roman"/>
          <w:sz w:val="22"/>
        </w:rPr>
        <w:t>23</w:t>
      </w:r>
      <w:r w:rsidRPr="00EF6C9C">
        <w:rPr>
          <w:rFonts w:hint="eastAsia"/>
          <w:spacing w:val="-20"/>
          <w:sz w:val="22"/>
        </w:rPr>
        <w:t>日</w:t>
      </w:r>
      <w:r w:rsidRPr="00EF6C9C">
        <w:rPr>
          <w:rFonts w:hint="eastAsia"/>
          <w:sz w:val="22"/>
        </w:rPr>
        <w:t>校教評會議通過</w:t>
      </w:r>
    </w:p>
    <w:p w:rsidR="00EB5055" w:rsidRPr="00A67098" w:rsidRDefault="00AD761B" w:rsidP="00A67098">
      <w:pPr>
        <w:pStyle w:val="a3"/>
        <w:kinsoku w:val="0"/>
        <w:overflowPunct w:val="0"/>
        <w:spacing w:before="1" w:line="240" w:lineRule="exact"/>
        <w:ind w:left="4256" w:rightChars="-11" w:right="-26" w:firstLine="120"/>
        <w:jc w:val="right"/>
        <w:rPr>
          <w:rFonts w:ascii="Times New Roman" w:cs="Times New Roman"/>
          <w:sz w:val="22"/>
        </w:rPr>
      </w:pPr>
      <w:r w:rsidRPr="00EF6C9C">
        <w:rPr>
          <w:rFonts w:ascii="Times New Roman" w:cs="Times New Roman"/>
          <w:sz w:val="22"/>
        </w:rPr>
        <w:t>101</w:t>
      </w:r>
      <w:r w:rsidRPr="00EF6C9C">
        <w:rPr>
          <w:rFonts w:hint="eastAsia"/>
          <w:spacing w:val="-30"/>
          <w:sz w:val="22"/>
        </w:rPr>
        <w:t>年</w:t>
      </w:r>
      <w:r w:rsidRPr="00EF6C9C">
        <w:rPr>
          <w:rFonts w:ascii="Times New Roman" w:cs="Times New Roman"/>
          <w:sz w:val="22"/>
        </w:rPr>
        <w:t>1</w:t>
      </w:r>
      <w:r w:rsidRPr="00EF6C9C">
        <w:rPr>
          <w:rFonts w:hint="eastAsia"/>
          <w:spacing w:val="-30"/>
          <w:sz w:val="22"/>
        </w:rPr>
        <w:t>月</w:t>
      </w:r>
      <w:r w:rsidRPr="00EF6C9C">
        <w:rPr>
          <w:rFonts w:ascii="Times New Roman" w:cs="Times New Roman"/>
          <w:sz w:val="22"/>
        </w:rPr>
        <w:t>11</w:t>
      </w:r>
      <w:r w:rsidRPr="00EF6C9C">
        <w:rPr>
          <w:rFonts w:hint="eastAsia"/>
          <w:spacing w:val="-20"/>
          <w:sz w:val="22"/>
        </w:rPr>
        <w:t>日</w:t>
      </w:r>
      <w:r w:rsidRPr="00EF6C9C">
        <w:rPr>
          <w:rFonts w:hint="eastAsia"/>
          <w:sz w:val="22"/>
        </w:rPr>
        <w:t>校教評</w:t>
      </w:r>
      <w:r w:rsidRPr="00A67098">
        <w:rPr>
          <w:rFonts w:ascii="Times New Roman" w:cs="Times New Roman" w:hint="eastAsia"/>
          <w:sz w:val="22"/>
        </w:rPr>
        <w:t>會議通過</w:t>
      </w:r>
    </w:p>
    <w:p w:rsidR="00EB5055" w:rsidRPr="00EF6C9C" w:rsidRDefault="00AD761B" w:rsidP="00A67098">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104</w:t>
      </w:r>
      <w:r w:rsidRPr="00A67098">
        <w:rPr>
          <w:rFonts w:ascii="Times New Roman" w:cs="Times New Roman" w:hint="eastAsia"/>
          <w:sz w:val="22"/>
        </w:rPr>
        <w:t>年</w:t>
      </w:r>
      <w:r w:rsidRPr="00EF6C9C">
        <w:rPr>
          <w:rFonts w:ascii="Times New Roman" w:cs="Times New Roman"/>
          <w:sz w:val="22"/>
        </w:rPr>
        <w:t>10</w:t>
      </w:r>
      <w:r w:rsidRPr="00A67098">
        <w:rPr>
          <w:rFonts w:ascii="Times New Roman" w:cs="Times New Roman" w:hint="eastAsia"/>
          <w:sz w:val="22"/>
        </w:rPr>
        <w:t>月</w:t>
      </w:r>
      <w:r w:rsidRPr="00EF6C9C">
        <w:rPr>
          <w:rFonts w:ascii="Times New Roman" w:cs="Times New Roman"/>
          <w:sz w:val="22"/>
        </w:rPr>
        <w:t>28</w:t>
      </w:r>
      <w:r w:rsidRPr="00A67098">
        <w:rPr>
          <w:rFonts w:ascii="Times New Roman" w:cs="Times New Roman" w:hint="eastAsia"/>
          <w:sz w:val="22"/>
        </w:rPr>
        <w:t>日</w:t>
      </w:r>
      <w:r w:rsidRPr="00EF6C9C">
        <w:rPr>
          <w:rFonts w:hint="eastAsia"/>
          <w:sz w:val="22"/>
        </w:rPr>
        <w:t>院務會議通過</w:t>
      </w:r>
    </w:p>
    <w:p w:rsidR="00EB5055" w:rsidRPr="00EF6C9C" w:rsidRDefault="00AD761B" w:rsidP="00A67098">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104</w:t>
      </w:r>
      <w:r w:rsidRPr="00EF6C9C">
        <w:rPr>
          <w:rFonts w:hint="eastAsia"/>
          <w:spacing w:val="-30"/>
          <w:sz w:val="22"/>
        </w:rPr>
        <w:t>年</w:t>
      </w:r>
      <w:r w:rsidRPr="00EF6C9C">
        <w:rPr>
          <w:rFonts w:ascii="Times New Roman" w:cs="Times New Roman"/>
          <w:sz w:val="22"/>
        </w:rPr>
        <w:t>11</w:t>
      </w:r>
      <w:r w:rsidRPr="00EF6C9C">
        <w:rPr>
          <w:rFonts w:hint="eastAsia"/>
          <w:spacing w:val="-30"/>
          <w:sz w:val="22"/>
        </w:rPr>
        <w:t>月</w:t>
      </w:r>
      <w:r w:rsidRPr="00EF6C9C">
        <w:rPr>
          <w:rFonts w:ascii="Times New Roman" w:cs="Times New Roman"/>
          <w:sz w:val="22"/>
        </w:rPr>
        <w:t>18</w:t>
      </w:r>
      <w:r w:rsidRPr="00EF6C9C">
        <w:rPr>
          <w:rFonts w:hint="eastAsia"/>
          <w:spacing w:val="-20"/>
          <w:sz w:val="22"/>
        </w:rPr>
        <w:t>日</w:t>
      </w:r>
      <w:r w:rsidRPr="00EF6C9C">
        <w:rPr>
          <w:rFonts w:hint="eastAsia"/>
          <w:sz w:val="22"/>
        </w:rPr>
        <w:t>院教會議通過</w:t>
      </w:r>
    </w:p>
    <w:p w:rsidR="005740D8" w:rsidRDefault="00AD761B" w:rsidP="00A67098">
      <w:pPr>
        <w:pStyle w:val="a3"/>
        <w:kinsoku w:val="0"/>
        <w:overflowPunct w:val="0"/>
        <w:spacing w:before="1" w:line="240" w:lineRule="exact"/>
        <w:ind w:left="4256" w:rightChars="-11" w:right="-26" w:firstLine="120"/>
        <w:jc w:val="right"/>
        <w:rPr>
          <w:sz w:val="22"/>
        </w:rPr>
      </w:pPr>
      <w:r w:rsidRPr="00EF6C9C">
        <w:rPr>
          <w:rFonts w:ascii="Times New Roman" w:cs="Times New Roman"/>
          <w:sz w:val="22"/>
        </w:rPr>
        <w:t>105</w:t>
      </w:r>
      <w:r w:rsidRPr="00EF6C9C">
        <w:rPr>
          <w:rFonts w:hint="eastAsia"/>
          <w:spacing w:val="-30"/>
          <w:sz w:val="22"/>
        </w:rPr>
        <w:t>年</w:t>
      </w:r>
      <w:r w:rsidRPr="00EF6C9C">
        <w:rPr>
          <w:rFonts w:ascii="Times New Roman" w:cs="Times New Roman"/>
          <w:sz w:val="22"/>
        </w:rPr>
        <w:t>12</w:t>
      </w:r>
      <w:r w:rsidRPr="00EF6C9C">
        <w:rPr>
          <w:rFonts w:hint="eastAsia"/>
          <w:spacing w:val="-30"/>
          <w:sz w:val="22"/>
        </w:rPr>
        <w:t>月</w:t>
      </w:r>
      <w:r w:rsidRPr="00EF6C9C">
        <w:rPr>
          <w:rFonts w:ascii="Times New Roman" w:cs="Times New Roman"/>
          <w:sz w:val="22"/>
        </w:rPr>
        <w:t>8</w:t>
      </w:r>
      <w:r w:rsidRPr="00EF6C9C">
        <w:rPr>
          <w:rFonts w:hint="eastAsia"/>
          <w:spacing w:val="-20"/>
          <w:sz w:val="22"/>
        </w:rPr>
        <w:t>日</w:t>
      </w:r>
      <w:r w:rsidRPr="00EF6C9C">
        <w:rPr>
          <w:rFonts w:hint="eastAsia"/>
          <w:sz w:val="22"/>
        </w:rPr>
        <w:t>校教評會議通過</w:t>
      </w:r>
    </w:p>
    <w:p w:rsidR="00463A01" w:rsidRDefault="00463A01" w:rsidP="00A67098">
      <w:pPr>
        <w:pStyle w:val="a3"/>
        <w:kinsoku w:val="0"/>
        <w:overflowPunct w:val="0"/>
        <w:spacing w:before="1" w:line="240" w:lineRule="exact"/>
        <w:ind w:left="4256" w:rightChars="-11" w:right="-26" w:firstLine="120"/>
        <w:jc w:val="right"/>
        <w:rPr>
          <w:rFonts w:ascii="Times New Roman" w:cs="Times New Roman"/>
          <w:sz w:val="22"/>
        </w:rPr>
      </w:pPr>
      <w:r w:rsidRPr="009D2201">
        <w:rPr>
          <w:rFonts w:ascii="Times New Roman" w:cs="Times New Roman"/>
          <w:sz w:val="22"/>
        </w:rPr>
        <w:t>112</w:t>
      </w:r>
      <w:r w:rsidRPr="009D2201">
        <w:rPr>
          <w:rFonts w:ascii="Times New Roman" w:cs="Times New Roman" w:hint="eastAsia"/>
          <w:sz w:val="22"/>
        </w:rPr>
        <w:t>年</w:t>
      </w:r>
      <w:r w:rsidRPr="009D2201">
        <w:rPr>
          <w:rFonts w:ascii="Times New Roman" w:cs="Times New Roman"/>
          <w:sz w:val="22"/>
        </w:rPr>
        <w:t>6</w:t>
      </w:r>
      <w:r w:rsidRPr="009D2201">
        <w:rPr>
          <w:rFonts w:ascii="Times New Roman" w:cs="Times New Roman" w:hint="eastAsia"/>
          <w:sz w:val="22"/>
        </w:rPr>
        <w:t>月</w:t>
      </w:r>
      <w:r w:rsidRPr="009D2201">
        <w:rPr>
          <w:rFonts w:ascii="Times New Roman" w:cs="Times New Roman"/>
          <w:sz w:val="22"/>
        </w:rPr>
        <w:t>28</w:t>
      </w:r>
      <w:r w:rsidRPr="009D2201">
        <w:rPr>
          <w:rFonts w:ascii="Times New Roman" w:cs="Times New Roman" w:hint="eastAsia"/>
          <w:sz w:val="22"/>
        </w:rPr>
        <w:t>日院教評會議通過</w:t>
      </w:r>
    </w:p>
    <w:p w:rsidR="001F3D9A" w:rsidRPr="006B62F3" w:rsidRDefault="001F3D9A" w:rsidP="00A67098">
      <w:pPr>
        <w:pStyle w:val="a3"/>
        <w:kinsoku w:val="0"/>
        <w:overflowPunct w:val="0"/>
        <w:spacing w:before="1" w:line="240" w:lineRule="exact"/>
        <w:ind w:left="4256" w:rightChars="-11" w:right="-26" w:firstLine="120"/>
        <w:jc w:val="right"/>
        <w:rPr>
          <w:sz w:val="22"/>
        </w:rPr>
      </w:pPr>
      <w:r w:rsidRPr="006B62F3">
        <w:rPr>
          <w:rFonts w:ascii="Times New Roman" w:cs="Times New Roman"/>
          <w:sz w:val="22"/>
        </w:rPr>
        <w:t>112</w:t>
      </w:r>
      <w:r w:rsidRPr="006B62F3">
        <w:rPr>
          <w:rFonts w:ascii="Times New Roman" w:cs="Times New Roman"/>
          <w:sz w:val="22"/>
        </w:rPr>
        <w:t>年</w:t>
      </w:r>
      <w:r w:rsidRPr="006B62F3">
        <w:rPr>
          <w:rFonts w:ascii="Times New Roman" w:cs="Times New Roman"/>
          <w:sz w:val="22"/>
        </w:rPr>
        <w:t>10</w:t>
      </w:r>
      <w:r w:rsidRPr="006B62F3">
        <w:rPr>
          <w:rFonts w:ascii="Times New Roman" w:cs="Times New Roman"/>
          <w:sz w:val="22"/>
        </w:rPr>
        <w:t>月</w:t>
      </w:r>
      <w:r w:rsidR="00CF1244" w:rsidRPr="006B62F3">
        <w:rPr>
          <w:rFonts w:ascii="Times New Roman" w:cs="Times New Roman" w:hint="eastAsia"/>
          <w:sz w:val="22"/>
        </w:rPr>
        <w:t>1</w:t>
      </w:r>
      <w:r w:rsidR="00CF1244" w:rsidRPr="006B62F3">
        <w:rPr>
          <w:rFonts w:ascii="Times New Roman" w:cs="Times New Roman"/>
          <w:sz w:val="22"/>
        </w:rPr>
        <w:t>8</w:t>
      </w:r>
      <w:r w:rsidRPr="006B62F3">
        <w:rPr>
          <w:rFonts w:ascii="Times New Roman" w:cs="Times New Roman"/>
          <w:sz w:val="22"/>
        </w:rPr>
        <w:t>日</w:t>
      </w:r>
      <w:r w:rsidRPr="006B62F3">
        <w:rPr>
          <w:rFonts w:ascii="Times New Roman" w:cs="Times New Roman" w:hint="eastAsia"/>
          <w:sz w:val="22"/>
        </w:rPr>
        <w:t>院教評會議通過</w:t>
      </w:r>
    </w:p>
    <w:p w:rsidR="005740D8" w:rsidRPr="006B62F3" w:rsidRDefault="005740D8" w:rsidP="00EB5055">
      <w:pPr>
        <w:pStyle w:val="a3"/>
        <w:kinsoku w:val="0"/>
        <w:overflowPunct w:val="0"/>
        <w:spacing w:before="2"/>
        <w:ind w:left="0"/>
        <w:rPr>
          <w:sz w:val="14"/>
          <w:szCs w:val="14"/>
        </w:rPr>
      </w:pPr>
    </w:p>
    <w:p w:rsidR="005740D8" w:rsidRDefault="00AD761B" w:rsidP="00EB5055">
      <w:pPr>
        <w:pStyle w:val="1"/>
        <w:tabs>
          <w:tab w:val="left" w:pos="1082"/>
          <w:tab w:val="left" w:pos="1567"/>
        </w:tabs>
        <w:kinsoku w:val="0"/>
        <w:overflowPunct w:val="0"/>
        <w:spacing w:before="26"/>
      </w:pPr>
      <w:r>
        <w:rPr>
          <w:rFonts w:hint="eastAsia"/>
          <w:shd w:val="clear" w:color="auto" w:fill="D9D9D9"/>
        </w:rPr>
        <w:t>第一章</w:t>
      </w:r>
      <w:r>
        <w:rPr>
          <w:shd w:val="clear" w:color="auto" w:fill="D9D9D9"/>
        </w:rPr>
        <w:tab/>
      </w:r>
      <w:r>
        <w:rPr>
          <w:rFonts w:hint="eastAsia"/>
          <w:shd w:val="clear" w:color="auto" w:fill="D9D9D9"/>
        </w:rPr>
        <w:t>總</w:t>
      </w:r>
      <w:r>
        <w:rPr>
          <w:shd w:val="clear" w:color="auto" w:fill="D9D9D9"/>
        </w:rPr>
        <w:tab/>
      </w:r>
      <w:r>
        <w:rPr>
          <w:rFonts w:hint="eastAsia"/>
          <w:shd w:val="clear" w:color="auto" w:fill="D9D9D9"/>
        </w:rPr>
        <w:t>則</w:t>
      </w:r>
    </w:p>
    <w:p w:rsidR="005740D8" w:rsidRDefault="00AD761B" w:rsidP="001B1CF0">
      <w:pPr>
        <w:pStyle w:val="a3"/>
        <w:tabs>
          <w:tab w:val="left" w:pos="1075"/>
        </w:tabs>
        <w:kinsoku w:val="0"/>
        <w:overflowPunct w:val="0"/>
        <w:spacing w:before="154"/>
        <w:jc w:val="both"/>
      </w:pPr>
      <w:r>
        <w:rPr>
          <w:rFonts w:hint="eastAsia"/>
        </w:rPr>
        <w:t>第一條</w:t>
      </w:r>
      <w:r>
        <w:tab/>
      </w:r>
      <w:r>
        <w:rPr>
          <w:rFonts w:hint="eastAsia"/>
        </w:rPr>
        <w:t>本審查準則依據本校教師評審委員會設置辦法第二條之規定訂定之。</w:t>
      </w:r>
    </w:p>
    <w:p w:rsidR="005740D8" w:rsidRDefault="00AD761B" w:rsidP="001B1CF0">
      <w:pPr>
        <w:pStyle w:val="a3"/>
        <w:tabs>
          <w:tab w:val="left" w:pos="1075"/>
        </w:tabs>
        <w:kinsoku w:val="0"/>
        <w:overflowPunct w:val="0"/>
        <w:spacing w:beforeLines="50" w:before="120" w:line="280" w:lineRule="exact"/>
        <w:ind w:left="1077" w:hanging="964"/>
        <w:jc w:val="both"/>
      </w:pPr>
      <w:r>
        <w:rPr>
          <w:rFonts w:hint="eastAsia"/>
        </w:rPr>
        <w:t>第二條</w:t>
      </w:r>
      <w:r>
        <w:tab/>
      </w:r>
      <w:r>
        <w:rPr>
          <w:rFonts w:hint="eastAsia"/>
        </w:rPr>
        <w:t>本院各級教師之聘</w:t>
      </w:r>
      <w:r>
        <w:rPr>
          <w:rFonts w:hint="eastAsia"/>
          <w:spacing w:val="-44"/>
        </w:rPr>
        <w:t>任</w:t>
      </w:r>
      <w:r>
        <w:rPr>
          <w:rFonts w:hint="eastAsia"/>
        </w:rPr>
        <w:t>（含新</w:t>
      </w:r>
      <w:r>
        <w:rPr>
          <w:rFonts w:hint="eastAsia"/>
          <w:spacing w:val="-22"/>
        </w:rPr>
        <w:t>聘、</w:t>
      </w:r>
      <w:r>
        <w:rPr>
          <w:rFonts w:hint="eastAsia"/>
        </w:rPr>
        <w:t>停</w:t>
      </w:r>
      <w:r>
        <w:rPr>
          <w:rFonts w:hint="eastAsia"/>
          <w:spacing w:val="-22"/>
        </w:rPr>
        <w:t>聘、</w:t>
      </w:r>
      <w:r>
        <w:rPr>
          <w:rFonts w:hint="eastAsia"/>
        </w:rPr>
        <w:t>不續</w:t>
      </w:r>
      <w:r>
        <w:rPr>
          <w:rFonts w:hint="eastAsia"/>
          <w:spacing w:val="-22"/>
        </w:rPr>
        <w:t>聘、</w:t>
      </w:r>
      <w:r>
        <w:rPr>
          <w:rFonts w:hint="eastAsia"/>
        </w:rPr>
        <w:t>解聘</w:t>
      </w:r>
      <w:r>
        <w:rPr>
          <w:rFonts w:hint="eastAsia"/>
          <w:spacing w:val="-44"/>
        </w:rPr>
        <w:t>）</w:t>
      </w:r>
      <w:r>
        <w:rPr>
          <w:rFonts w:hint="eastAsia"/>
        </w:rPr>
        <w:t>及升</w:t>
      </w:r>
      <w:r>
        <w:rPr>
          <w:rFonts w:hint="eastAsia"/>
          <w:spacing w:val="-22"/>
        </w:rPr>
        <w:t>等，</w:t>
      </w:r>
      <w:r>
        <w:rPr>
          <w:rFonts w:hint="eastAsia"/>
        </w:rPr>
        <w:t>除依相關法令規定外，另依本審查準則辦理之。</w:t>
      </w:r>
    </w:p>
    <w:p w:rsidR="005740D8" w:rsidRDefault="00AD761B" w:rsidP="001B1CF0">
      <w:pPr>
        <w:pStyle w:val="a3"/>
        <w:tabs>
          <w:tab w:val="left" w:pos="1075"/>
        </w:tabs>
        <w:kinsoku w:val="0"/>
        <w:overflowPunct w:val="0"/>
        <w:spacing w:beforeLines="50" w:before="120" w:line="280" w:lineRule="exact"/>
        <w:ind w:left="1077" w:hanging="964"/>
        <w:jc w:val="both"/>
      </w:pPr>
      <w:r>
        <w:rPr>
          <w:rFonts w:hint="eastAsia"/>
        </w:rPr>
        <w:t>第三條</w:t>
      </w:r>
      <w:r>
        <w:tab/>
      </w:r>
      <w:r>
        <w:rPr>
          <w:rFonts w:hint="eastAsia"/>
        </w:rPr>
        <w:t>本院教師之聘任及升等審查事宜，得由本院教師評審委員會辦理之。</w:t>
      </w:r>
    </w:p>
    <w:p w:rsidR="00EB5055" w:rsidRDefault="00AD761B" w:rsidP="0017228B">
      <w:pPr>
        <w:pStyle w:val="a3"/>
        <w:tabs>
          <w:tab w:val="left" w:pos="1075"/>
        </w:tabs>
        <w:kinsoku w:val="0"/>
        <w:overflowPunct w:val="0"/>
        <w:spacing w:beforeLines="50" w:before="120" w:line="280" w:lineRule="exact"/>
        <w:ind w:left="1077" w:hanging="964"/>
        <w:jc w:val="both"/>
      </w:pPr>
      <w:r>
        <w:rPr>
          <w:rFonts w:hint="eastAsia"/>
        </w:rPr>
        <w:t>第四條</w:t>
      </w:r>
      <w:r>
        <w:tab/>
      </w:r>
      <w:r>
        <w:rPr>
          <w:rFonts w:hint="eastAsia"/>
        </w:rPr>
        <w:t>本院各系所應設置教師評審委員會，辦理該系教師之聘任及升等審查事宜。</w:t>
      </w:r>
    </w:p>
    <w:p w:rsidR="0017228B" w:rsidRPr="006B62F3" w:rsidRDefault="0017228B" w:rsidP="0017228B">
      <w:pPr>
        <w:pStyle w:val="a3"/>
        <w:tabs>
          <w:tab w:val="left" w:pos="1075"/>
        </w:tabs>
        <w:kinsoku w:val="0"/>
        <w:overflowPunct w:val="0"/>
        <w:spacing w:beforeLines="50" w:before="120" w:line="280" w:lineRule="exact"/>
        <w:ind w:left="1077" w:hanging="964"/>
        <w:jc w:val="both"/>
      </w:pPr>
      <w:r w:rsidRPr="006B62F3">
        <w:rPr>
          <w:rFonts w:hint="eastAsia"/>
        </w:rPr>
        <w:t>第五條 院教評會依任務視需要召開會議，應有全體委員二分之ㄧ以上出席，始得開會；應有出席委員二分之ㄧ以上之同意，始得決議；惟教師法或其他法令另有規定者，從其規定。委員公出或請假不得由其他人員代理。審議教師解聘、停聘、不續聘、資遣及復聘案件之出席及決議人數，依教師法第十四條至第十六條、第十八條及第二十二條至第二十三條等相關規定辦理。</w:t>
      </w:r>
    </w:p>
    <w:p w:rsidR="005740D8" w:rsidRPr="006B62F3" w:rsidRDefault="00AD761B" w:rsidP="001B1CF0">
      <w:pPr>
        <w:pStyle w:val="a3"/>
        <w:tabs>
          <w:tab w:val="left" w:pos="1075"/>
          <w:tab w:val="left" w:pos="1567"/>
        </w:tabs>
        <w:kinsoku w:val="0"/>
        <w:overflowPunct w:val="0"/>
        <w:spacing w:before="153" w:line="357" w:lineRule="auto"/>
        <w:jc w:val="both"/>
        <w:rPr>
          <w:b/>
          <w:bCs/>
        </w:rPr>
      </w:pPr>
      <w:r w:rsidRPr="006B62F3">
        <w:rPr>
          <w:rFonts w:hint="eastAsia"/>
          <w:b/>
          <w:bCs/>
          <w:shd w:val="clear" w:color="auto" w:fill="D9D9D9"/>
        </w:rPr>
        <w:t>第二章</w:t>
      </w:r>
      <w:r w:rsidRPr="006B62F3">
        <w:rPr>
          <w:b/>
          <w:bCs/>
          <w:shd w:val="clear" w:color="auto" w:fill="D9D9D9"/>
        </w:rPr>
        <w:tab/>
      </w:r>
      <w:r w:rsidRPr="006B62F3">
        <w:rPr>
          <w:rFonts w:hint="eastAsia"/>
          <w:b/>
          <w:bCs/>
          <w:shd w:val="clear" w:color="auto" w:fill="D9D9D9"/>
        </w:rPr>
        <w:t>聘</w:t>
      </w:r>
      <w:r w:rsidRPr="006B62F3">
        <w:rPr>
          <w:b/>
          <w:bCs/>
          <w:shd w:val="clear" w:color="auto" w:fill="D9D9D9"/>
        </w:rPr>
        <w:tab/>
      </w:r>
      <w:r w:rsidRPr="006B62F3">
        <w:rPr>
          <w:rFonts w:hint="eastAsia"/>
          <w:b/>
          <w:bCs/>
          <w:shd w:val="clear" w:color="auto" w:fill="D9D9D9"/>
        </w:rPr>
        <w:t>任</w:t>
      </w:r>
    </w:p>
    <w:p w:rsidR="00EB5055" w:rsidRPr="006B62F3" w:rsidRDefault="00AD761B" w:rsidP="001B1CF0">
      <w:pPr>
        <w:pStyle w:val="a3"/>
        <w:kinsoku w:val="0"/>
        <w:overflowPunct w:val="0"/>
        <w:spacing w:before="154"/>
        <w:ind w:leftChars="48" w:left="1133" w:hangingChars="424" w:hanging="1018"/>
        <w:jc w:val="both"/>
      </w:pPr>
      <w:r w:rsidRPr="006B62F3">
        <w:rPr>
          <w:rFonts w:hint="eastAsia"/>
        </w:rPr>
        <w:t>第</w:t>
      </w:r>
      <w:r w:rsidR="0017228B" w:rsidRPr="006B62F3">
        <w:rPr>
          <w:rFonts w:hint="eastAsia"/>
        </w:rPr>
        <w:t>六</w:t>
      </w:r>
      <w:r w:rsidRPr="006B62F3">
        <w:rPr>
          <w:rFonts w:hint="eastAsia"/>
        </w:rPr>
        <w:t>條</w:t>
      </w:r>
      <w:r w:rsidRPr="006B62F3">
        <w:tab/>
      </w:r>
      <w:r w:rsidRPr="006B62F3">
        <w:rPr>
          <w:rFonts w:hint="eastAsia"/>
        </w:rPr>
        <w:t>本院教師之聘任，經系初審後，得由系先辦理著作外審作業後，再由各系辦理聘任審查。</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第七條</w:t>
      </w:r>
      <w:r w:rsidRPr="006B62F3">
        <w:tab/>
      </w:r>
      <w:r w:rsidRPr="006B62F3">
        <w:rPr>
          <w:rFonts w:hint="eastAsia"/>
        </w:rPr>
        <w:t>專任教師離職後擬再聘為專任教師者，視同新聘；但專任教師於離職一年內擬改聘為兼任教師者，得逕予改聘。</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第八條</w:t>
      </w:r>
      <w:r w:rsidRPr="006B62F3">
        <w:tab/>
      </w:r>
      <w:r w:rsidRPr="006B62F3">
        <w:rPr>
          <w:rFonts w:hint="eastAsia"/>
        </w:rPr>
        <w:t>本院兼任教師之聘任適用本審查準則規定。</w:t>
      </w:r>
    </w:p>
    <w:p w:rsidR="005740D8" w:rsidRPr="006B62F3" w:rsidRDefault="00AD761B" w:rsidP="001B1CF0">
      <w:pPr>
        <w:pStyle w:val="a3"/>
        <w:tabs>
          <w:tab w:val="left" w:pos="1075"/>
          <w:tab w:val="left" w:pos="1567"/>
        </w:tabs>
        <w:kinsoku w:val="0"/>
        <w:overflowPunct w:val="0"/>
        <w:spacing w:before="153" w:line="357" w:lineRule="auto"/>
        <w:jc w:val="both"/>
        <w:rPr>
          <w:b/>
          <w:bCs/>
          <w:shd w:val="clear" w:color="auto" w:fill="D9D9D9"/>
        </w:rPr>
      </w:pPr>
      <w:r w:rsidRPr="006B62F3">
        <w:rPr>
          <w:rFonts w:hint="eastAsia"/>
          <w:b/>
          <w:bCs/>
          <w:shd w:val="clear" w:color="auto" w:fill="D9D9D9"/>
        </w:rPr>
        <w:t>第三章</w:t>
      </w:r>
      <w:r w:rsidRPr="006B62F3">
        <w:rPr>
          <w:b/>
          <w:bCs/>
          <w:shd w:val="clear" w:color="auto" w:fill="D9D9D9"/>
        </w:rPr>
        <w:tab/>
      </w:r>
      <w:r w:rsidRPr="006B62F3">
        <w:rPr>
          <w:rFonts w:hint="eastAsia"/>
          <w:b/>
          <w:bCs/>
          <w:shd w:val="clear" w:color="auto" w:fill="D9D9D9"/>
        </w:rPr>
        <w:t>升</w:t>
      </w:r>
      <w:r w:rsidRPr="006B62F3">
        <w:rPr>
          <w:b/>
          <w:bCs/>
          <w:shd w:val="clear" w:color="auto" w:fill="D9D9D9"/>
        </w:rPr>
        <w:tab/>
      </w:r>
      <w:r w:rsidRPr="006B62F3">
        <w:rPr>
          <w:rFonts w:hint="eastAsia"/>
          <w:b/>
          <w:bCs/>
          <w:shd w:val="clear" w:color="auto" w:fill="D9D9D9"/>
        </w:rPr>
        <w:t>等</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w:t>
      </w:r>
      <w:r w:rsidR="00111B29" w:rsidRPr="006B62F3">
        <w:rPr>
          <w:rFonts w:hint="eastAsia"/>
        </w:rPr>
        <w:t>九</w:t>
      </w:r>
      <w:r w:rsidRPr="006B62F3">
        <w:rPr>
          <w:rFonts w:hint="eastAsia"/>
        </w:rPr>
        <w:t>條</w:t>
      </w:r>
      <w:r w:rsidRPr="006B62F3">
        <w:tab/>
      </w:r>
      <w:r w:rsidRPr="006B62F3">
        <w:rPr>
          <w:rFonts w:hint="eastAsia"/>
        </w:rPr>
        <w:t>本院教師評審委員須以院之立場，在公正客觀原則下，就教學、研究及服務等方面予以審查。</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第十條</w:t>
      </w:r>
      <w:r w:rsidRPr="006B62F3">
        <w:tab/>
      </w:r>
      <w:r w:rsidRPr="006B62F3">
        <w:rPr>
          <w:rFonts w:hint="eastAsia"/>
        </w:rPr>
        <w:t>本院各系教師之升等，須經該系教師評審委員會審查通過後，向本院推薦，經本院教師評審委員會審查通過後向校推薦。</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第十</w:t>
      </w:r>
      <w:r w:rsidR="00111B29" w:rsidRPr="006B62F3">
        <w:rPr>
          <w:rFonts w:hint="eastAsia"/>
        </w:rPr>
        <w:t>一</w:t>
      </w:r>
      <w:r w:rsidRPr="006B62F3">
        <w:rPr>
          <w:rFonts w:hint="eastAsia"/>
        </w:rPr>
        <w:t>條</w:t>
      </w:r>
      <w:r w:rsidRPr="006B62F3">
        <w:tab/>
      </w:r>
      <w:r w:rsidRPr="006B62F3">
        <w:rPr>
          <w:rFonts w:hint="eastAsia"/>
        </w:rPr>
        <w:t>本院教師同時於教學領域相關研究所全職進修學位而具有學生身份者，不得申請升等。</w:t>
      </w:r>
      <w:r w:rsidRPr="006B62F3">
        <w:t>(</w:t>
      </w:r>
      <w:r w:rsidRPr="006B62F3">
        <w:rPr>
          <w:rFonts w:hint="eastAsia"/>
        </w:rPr>
        <w:t>九十五學年度之後申請進修學位教師適用</w:t>
      </w:r>
      <w:r w:rsidRPr="006B62F3">
        <w:t>)</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第十</w:t>
      </w:r>
      <w:r w:rsidR="00111B29" w:rsidRPr="006B62F3">
        <w:rPr>
          <w:rFonts w:hint="eastAsia"/>
        </w:rPr>
        <w:t>二</w:t>
      </w:r>
      <w:r w:rsidRPr="006B62F3">
        <w:rPr>
          <w:rFonts w:hint="eastAsia"/>
        </w:rPr>
        <w:t>條</w:t>
      </w:r>
      <w:r w:rsidRPr="006B62F3">
        <w:tab/>
      </w:r>
      <w:r w:rsidRPr="006B62F3">
        <w:rPr>
          <w:rFonts w:hint="eastAsia"/>
        </w:rPr>
        <w:t>申請升等之教師得建議希望迴避之著作審查人至多三名</w:t>
      </w:r>
      <w:r w:rsidRPr="006B62F3">
        <w:t>(</w:t>
      </w:r>
      <w:r w:rsidRPr="006B62F3">
        <w:rPr>
          <w:rFonts w:hint="eastAsia"/>
        </w:rPr>
        <w:t>包括姓名、現職、名單請自行彌封</w:t>
      </w:r>
      <w:r w:rsidRPr="006B62F3">
        <w:t>)</w:t>
      </w:r>
      <w:r w:rsidRPr="006B62F3">
        <w:rPr>
          <w:rFonts w:hint="eastAsia"/>
        </w:rPr>
        <w:t>，送交各系。</w:t>
      </w:r>
    </w:p>
    <w:p w:rsidR="005740D8" w:rsidRPr="006B62F3" w:rsidRDefault="00AD761B" w:rsidP="001B1CF0">
      <w:pPr>
        <w:pStyle w:val="a3"/>
        <w:kinsoku w:val="0"/>
        <w:overflowPunct w:val="0"/>
        <w:spacing w:before="154"/>
        <w:ind w:leftChars="48" w:left="1202" w:hangingChars="453" w:hanging="1087"/>
        <w:jc w:val="both"/>
      </w:pPr>
      <w:r w:rsidRPr="006B62F3">
        <w:rPr>
          <w:rFonts w:hint="eastAsia"/>
        </w:rPr>
        <w:lastRenderedPageBreak/>
        <w:t>第十</w:t>
      </w:r>
      <w:r w:rsidR="00111B29" w:rsidRPr="006B62F3">
        <w:rPr>
          <w:rFonts w:hint="eastAsia"/>
        </w:rPr>
        <w:t>三</w:t>
      </w:r>
      <w:r w:rsidRPr="006B62F3">
        <w:rPr>
          <w:rFonts w:hint="eastAsia"/>
        </w:rPr>
        <w:t>條</w:t>
      </w:r>
      <w:r w:rsidRPr="006B62F3">
        <w:t xml:space="preserve"> </w:t>
      </w:r>
      <w:r w:rsidRPr="006B62F3">
        <w:rPr>
          <w:rFonts w:hint="eastAsia"/>
        </w:rPr>
        <w:t>本院辦理著作外審時，審查人姓名予以保密，但升等送審人姓名則不予保密。送審完畢，將審查意見表</w:t>
      </w:r>
      <w:r w:rsidRPr="006B62F3">
        <w:t>(</w:t>
      </w:r>
      <w:r w:rsidRPr="006B62F3">
        <w:rPr>
          <w:rFonts w:hint="eastAsia"/>
        </w:rPr>
        <w:t>審查人姓名彌封</w:t>
      </w:r>
      <w:r w:rsidRPr="006B62F3">
        <w:t>)</w:t>
      </w:r>
      <w:r w:rsidRPr="006B62F3">
        <w:rPr>
          <w:rFonts w:hint="eastAsia"/>
        </w:rPr>
        <w:t>連同教師送審資料送院教師評審委員會辦理院升等會議。</w:t>
      </w:r>
    </w:p>
    <w:p w:rsidR="005740D8" w:rsidRPr="006B62F3" w:rsidRDefault="00AD761B" w:rsidP="001B1CF0">
      <w:pPr>
        <w:pStyle w:val="a3"/>
        <w:kinsoku w:val="0"/>
        <w:overflowPunct w:val="0"/>
        <w:spacing w:before="154"/>
        <w:ind w:leftChars="48" w:left="1202" w:hangingChars="453" w:hanging="1087"/>
        <w:jc w:val="both"/>
      </w:pPr>
      <w:r w:rsidRPr="006B62F3">
        <w:rPr>
          <w:rFonts w:hint="eastAsia"/>
        </w:rPr>
        <w:t>第十</w:t>
      </w:r>
      <w:r w:rsidR="00111B29" w:rsidRPr="006B62F3">
        <w:rPr>
          <w:rFonts w:hint="eastAsia"/>
        </w:rPr>
        <w:t>四</w:t>
      </w:r>
      <w:r w:rsidRPr="006B62F3">
        <w:rPr>
          <w:rFonts w:hint="eastAsia"/>
        </w:rPr>
        <w:t>條</w:t>
      </w:r>
      <w:r w:rsidR="00EF6C9C" w:rsidRPr="006B62F3">
        <w:rPr>
          <w:rFonts w:hint="eastAsia"/>
        </w:rPr>
        <w:t xml:space="preserve"> </w:t>
      </w:r>
      <w:r w:rsidRPr="006B62F3">
        <w:rPr>
          <w:rFonts w:hint="eastAsia"/>
        </w:rPr>
        <w:t>升等會議時得邀請各申請升等教師，每位以十分鐘時間自我介紹，各申請升等教師接受委員之詢問。</w:t>
      </w:r>
    </w:p>
    <w:p w:rsidR="005740D8" w:rsidRPr="006B62F3" w:rsidRDefault="00AD761B" w:rsidP="001B1CF0">
      <w:pPr>
        <w:pStyle w:val="a3"/>
        <w:kinsoku w:val="0"/>
        <w:overflowPunct w:val="0"/>
        <w:spacing w:before="154"/>
        <w:ind w:leftChars="48" w:left="1202" w:hangingChars="453" w:hanging="1087"/>
        <w:jc w:val="both"/>
      </w:pPr>
      <w:r w:rsidRPr="006B62F3">
        <w:rPr>
          <w:rFonts w:hint="eastAsia"/>
        </w:rPr>
        <w:t>第十</w:t>
      </w:r>
      <w:r w:rsidR="00111B29" w:rsidRPr="006B62F3">
        <w:rPr>
          <w:rFonts w:hint="eastAsia"/>
        </w:rPr>
        <w:t>五</w:t>
      </w:r>
      <w:r w:rsidRPr="006B62F3">
        <w:rPr>
          <w:rFonts w:hint="eastAsia"/>
        </w:rPr>
        <w:t>條</w:t>
      </w:r>
      <w:r w:rsidR="00EB5055" w:rsidRPr="006B62F3">
        <w:rPr>
          <w:rFonts w:hint="eastAsia"/>
        </w:rPr>
        <w:t xml:space="preserve"> </w:t>
      </w:r>
      <w:r w:rsidRPr="006B62F3">
        <w:rPr>
          <w:rFonts w:hint="eastAsia"/>
        </w:rPr>
        <w:t>申請升等未獲通過推薦之教師如擬提出申訴，得於接獲本院通知後二週內檢具詳細理由向院長提出申訴，院長於接獲申訴書並與當事人充分溝通後，必要時得召開教師評審委員會重新審查，以一次為限。</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第十</w:t>
      </w:r>
      <w:r w:rsidR="00111B29" w:rsidRPr="006B62F3">
        <w:rPr>
          <w:rFonts w:hint="eastAsia"/>
        </w:rPr>
        <w:t>六</w:t>
      </w:r>
      <w:r w:rsidRPr="006B62F3">
        <w:rPr>
          <w:rFonts w:hint="eastAsia"/>
        </w:rPr>
        <w:t>條</w:t>
      </w:r>
      <w:r w:rsidRPr="006B62F3">
        <w:tab/>
      </w:r>
      <w:r w:rsidRPr="006B62F3">
        <w:rPr>
          <w:rFonts w:hint="eastAsia"/>
        </w:rPr>
        <w:t>本院兼任教師之升等適用本審查準則規定。</w:t>
      </w:r>
    </w:p>
    <w:p w:rsidR="005740D8" w:rsidRPr="006B62F3" w:rsidRDefault="00AD761B" w:rsidP="001B1CF0">
      <w:pPr>
        <w:pStyle w:val="a3"/>
        <w:kinsoku w:val="0"/>
        <w:overflowPunct w:val="0"/>
        <w:spacing w:before="154"/>
        <w:ind w:leftChars="48" w:left="1133" w:hangingChars="424" w:hanging="1018"/>
        <w:jc w:val="both"/>
      </w:pPr>
      <w:r w:rsidRPr="006B62F3">
        <w:rPr>
          <w:rFonts w:hint="eastAsia"/>
        </w:rPr>
        <w:t>第十</w:t>
      </w:r>
      <w:r w:rsidR="00111B29" w:rsidRPr="006B62F3">
        <w:rPr>
          <w:rFonts w:hint="eastAsia"/>
        </w:rPr>
        <w:t>七</w:t>
      </w:r>
      <w:r w:rsidRPr="006B62F3">
        <w:rPr>
          <w:rFonts w:hint="eastAsia"/>
        </w:rPr>
        <w:t>條</w:t>
      </w:r>
      <w:r w:rsidRPr="006B62F3">
        <w:tab/>
      </w:r>
      <w:r w:rsidRPr="006B62F3">
        <w:rPr>
          <w:rFonts w:hint="eastAsia"/>
        </w:rPr>
        <w:t>本院專任（案）教師連續二學期申請升等，第二次審查費用由送審教師自行負擔。</w:t>
      </w:r>
    </w:p>
    <w:p w:rsidR="005740D8" w:rsidRPr="006B62F3" w:rsidRDefault="005054EF" w:rsidP="001B1CF0">
      <w:pPr>
        <w:pStyle w:val="a3"/>
        <w:kinsoku w:val="0"/>
        <w:overflowPunct w:val="0"/>
        <w:spacing w:before="11"/>
        <w:ind w:left="0"/>
        <w:jc w:val="both"/>
        <w:rPr>
          <w:sz w:val="12"/>
          <w:szCs w:val="12"/>
        </w:rPr>
      </w:pPr>
      <w:r w:rsidRPr="006B62F3">
        <w:rPr>
          <w:noProof/>
        </w:rPr>
        <mc:AlternateContent>
          <mc:Choice Requires="wps">
            <w:drawing>
              <wp:anchor distT="0" distB="0" distL="0" distR="0" simplePos="0" relativeHeight="251658240" behindDoc="0" locked="0" layoutInCell="0" allowOverlap="1">
                <wp:simplePos x="0" y="0"/>
                <wp:positionH relativeFrom="page">
                  <wp:posOffset>720725</wp:posOffset>
                </wp:positionH>
                <wp:positionV relativeFrom="paragraph">
                  <wp:posOffset>121920</wp:posOffset>
                </wp:positionV>
                <wp:extent cx="1227455" cy="1981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98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D8" w:rsidRDefault="00AD761B">
                            <w:pPr>
                              <w:pStyle w:val="a3"/>
                              <w:tabs>
                                <w:tab w:val="left" w:pos="1207"/>
                                <w:tab w:val="left" w:pos="1689"/>
                              </w:tabs>
                              <w:kinsoku w:val="0"/>
                              <w:overflowPunct w:val="0"/>
                              <w:spacing w:before="0" w:line="276" w:lineRule="exact"/>
                              <w:ind w:left="0"/>
                              <w:rPr>
                                <w:b/>
                                <w:bCs/>
                              </w:rPr>
                            </w:pPr>
                            <w:r>
                              <w:rPr>
                                <w:rFonts w:hint="eastAsia"/>
                                <w:b/>
                                <w:bCs/>
                              </w:rPr>
                              <w:t>第四章</w:t>
                            </w:r>
                            <w:r>
                              <w:rPr>
                                <w:b/>
                                <w:bCs/>
                              </w:rPr>
                              <w:tab/>
                            </w:r>
                            <w:r>
                              <w:rPr>
                                <w:rFonts w:hint="eastAsia"/>
                                <w:b/>
                                <w:bCs/>
                              </w:rPr>
                              <w:t>附</w:t>
                            </w:r>
                            <w:r>
                              <w:rPr>
                                <w:b/>
                                <w:bCs/>
                              </w:rPr>
                              <w:tab/>
                            </w:r>
                            <w:r>
                              <w:rPr>
                                <w:rFonts w:hint="eastAsia"/>
                                <w:b/>
                                <w:bCs/>
                              </w:rPr>
                              <w:t>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5pt;margin-top:9.6pt;width:96.65pt;height:1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" o:allowincell="f" fillcolor="#d9d9d9" stroked="f">
                <v:textbox inset="0,0,0,0">
                  <w:txbxContent>
                    <w:p w:rsidR="005740D8" w:rsidRDefault="00AD761B">
                      <w:pPr>
                        <w:pStyle w:val="a3"/>
                        <w:tabs>
                          <w:tab w:val="left" w:pos="1207"/>
                          <w:tab w:val="left" w:pos="1689"/>
                        </w:tabs>
                        <w:kinsoku w:val="0"/>
                        <w:overflowPunct w:val="0"/>
                        <w:spacing w:before="0" w:line="276" w:lineRule="exact"/>
                        <w:ind w:left="0"/>
                        <w:rPr>
                          <w:b/>
                          <w:bCs/>
                        </w:rPr>
                      </w:pPr>
                      <w:r>
                        <w:rPr>
                          <w:rFonts w:hint="eastAsia"/>
                          <w:b/>
                          <w:bCs/>
                        </w:rPr>
                        <w:t>第四章</w:t>
                      </w:r>
                      <w:r>
                        <w:rPr>
                          <w:b/>
                          <w:bCs/>
                        </w:rPr>
                        <w:tab/>
                      </w:r>
                      <w:r>
                        <w:rPr>
                          <w:rFonts w:hint="eastAsia"/>
                          <w:b/>
                          <w:bCs/>
                        </w:rPr>
                        <w:t>附</w:t>
                      </w:r>
                      <w:r>
                        <w:rPr>
                          <w:b/>
                          <w:bCs/>
                        </w:rPr>
                        <w:tab/>
                      </w:r>
                      <w:r>
                        <w:rPr>
                          <w:rFonts w:hint="eastAsia"/>
                          <w:b/>
                          <w:bCs/>
                        </w:rPr>
                        <w:t>則</w:t>
                      </w:r>
                    </w:p>
                  </w:txbxContent>
                </v:textbox>
                <w10:wrap type="topAndBottom" anchorx="page"/>
              </v:shape>
            </w:pict>
          </mc:Fallback>
        </mc:AlternateContent>
      </w:r>
    </w:p>
    <w:p w:rsidR="005740D8" w:rsidRPr="006B62F3" w:rsidRDefault="005740D8" w:rsidP="001B1CF0">
      <w:pPr>
        <w:pStyle w:val="a3"/>
        <w:kinsoku w:val="0"/>
        <w:overflowPunct w:val="0"/>
        <w:spacing w:before="11"/>
        <w:ind w:left="0"/>
        <w:jc w:val="both"/>
        <w:rPr>
          <w:sz w:val="5"/>
          <w:szCs w:val="5"/>
        </w:rPr>
      </w:pPr>
    </w:p>
    <w:p w:rsidR="009D2201" w:rsidRPr="006B62F3" w:rsidRDefault="0041140E" w:rsidP="001B1CF0">
      <w:pPr>
        <w:pStyle w:val="a3"/>
        <w:kinsoku w:val="0"/>
        <w:overflowPunct w:val="0"/>
        <w:spacing w:before="154"/>
        <w:ind w:leftChars="48" w:left="1184" w:hangingChars="453" w:hanging="1069"/>
        <w:jc w:val="both"/>
        <w:rPr>
          <w:spacing w:val="-4"/>
        </w:rPr>
      </w:pPr>
      <w:r w:rsidRPr="006B62F3">
        <w:rPr>
          <w:rFonts w:ascii="Times New Roman" w:cs="Times New Roman"/>
          <w:spacing w:val="-4"/>
        </w:rPr>
        <w:t>第</w:t>
      </w:r>
      <w:r w:rsidR="00111B29" w:rsidRPr="006B62F3">
        <w:rPr>
          <w:rFonts w:ascii="Times New Roman" w:cs="Times New Roman"/>
          <w:spacing w:val="-4"/>
        </w:rPr>
        <w:t>十八</w:t>
      </w:r>
      <w:r w:rsidRPr="006B62F3">
        <w:rPr>
          <w:rFonts w:ascii="Times New Roman" w:cs="Times New Roman"/>
          <w:spacing w:val="-4"/>
        </w:rPr>
        <w:t>條</w:t>
      </w:r>
      <w:r w:rsidR="009D2201" w:rsidRPr="006B62F3">
        <w:rPr>
          <w:rFonts w:ascii="Times New Roman" w:cs="Times New Roman" w:hint="eastAsia"/>
          <w:spacing w:val="-4"/>
        </w:rPr>
        <w:t xml:space="preserve"> </w:t>
      </w:r>
      <w:r w:rsidR="009D2201" w:rsidRPr="006B62F3">
        <w:rPr>
          <w:rFonts w:ascii="Times New Roman" w:cs="Times New Roman"/>
          <w:spacing w:val="-4"/>
        </w:rPr>
        <w:t xml:space="preserve"> </w:t>
      </w:r>
      <w:r w:rsidR="009D2201" w:rsidRPr="006B62F3">
        <w:rPr>
          <w:spacing w:val="-4"/>
        </w:rPr>
        <w:t>教師申請資格審查時，應</w:t>
      </w:r>
      <w:r w:rsidR="009D2201" w:rsidRPr="006B62F3">
        <w:rPr>
          <w:rFonts w:hint="eastAsia"/>
          <w:spacing w:val="-4"/>
        </w:rPr>
        <w:t>提供</w:t>
      </w:r>
      <w:r w:rsidR="009D2201" w:rsidRPr="006B62F3">
        <w:rPr>
          <w:spacing w:val="-4"/>
        </w:rPr>
        <w:t>其著作（含代表著作、參考著作、學位論文）</w:t>
      </w:r>
      <w:r w:rsidR="009D2201" w:rsidRPr="006B62F3">
        <w:rPr>
          <w:rFonts w:hint="eastAsia"/>
          <w:spacing w:val="-4"/>
        </w:rPr>
        <w:t>送交所屬單位教評會</w:t>
      </w:r>
      <w:r w:rsidR="009D2201" w:rsidRPr="006B62F3">
        <w:rPr>
          <w:spacing w:val="-4"/>
        </w:rPr>
        <w:t>以論文比對系統進行比對，並將比對結果，併著作提送教評會審議。新</w:t>
      </w:r>
      <w:r w:rsidR="009D2201" w:rsidRPr="006B62F3">
        <w:rPr>
          <w:rFonts w:hint="eastAsia"/>
          <w:spacing w:val="-4"/>
        </w:rPr>
        <w:t>聘教師</w:t>
      </w:r>
      <w:r w:rsidR="009D2201" w:rsidRPr="006B62F3">
        <w:rPr>
          <w:rFonts w:ascii="Times New Roman" w:cs="Times New Roman" w:hint="eastAsia"/>
          <w:spacing w:val="-4"/>
        </w:rPr>
        <w:t>資格</w:t>
      </w:r>
      <w:r w:rsidR="009D2201" w:rsidRPr="006B62F3">
        <w:rPr>
          <w:rFonts w:hint="eastAsia"/>
          <w:spacing w:val="-4"/>
        </w:rPr>
        <w:t>外審學位論文及教師升等送審論文相似度比對總相似度指標，排除摘要、參考文獻、關鍵字、目錄、附件及本人著作等。</w:t>
      </w:r>
    </w:p>
    <w:p w:rsidR="005740D8" w:rsidRPr="006B62F3" w:rsidRDefault="0041140E" w:rsidP="001B1CF0">
      <w:pPr>
        <w:pStyle w:val="a3"/>
        <w:kinsoku w:val="0"/>
        <w:overflowPunct w:val="0"/>
        <w:spacing w:before="154"/>
        <w:ind w:leftChars="48" w:left="1202" w:hangingChars="453" w:hanging="1087"/>
        <w:jc w:val="both"/>
      </w:pPr>
      <w:r w:rsidRPr="006B62F3">
        <w:t>第</w:t>
      </w:r>
      <w:r w:rsidR="00111B29" w:rsidRPr="006B62F3">
        <w:t>十九</w:t>
      </w:r>
      <w:r w:rsidR="00AD761B" w:rsidRPr="006B62F3">
        <w:rPr>
          <w:rFonts w:hint="eastAsia"/>
        </w:rPr>
        <w:t>條</w:t>
      </w:r>
      <w:r w:rsidR="00AD761B" w:rsidRPr="006B62F3">
        <w:tab/>
      </w:r>
      <w:r w:rsidR="00AD761B" w:rsidRPr="006B62F3">
        <w:rPr>
          <w:rFonts w:hint="eastAsia"/>
        </w:rPr>
        <w:t>本準則如有未盡事宜，由院教師評審委員會研議決定之。</w:t>
      </w:r>
    </w:p>
    <w:p w:rsidR="00AD761B" w:rsidRDefault="00AD761B" w:rsidP="001B1CF0">
      <w:pPr>
        <w:pStyle w:val="a3"/>
        <w:kinsoku w:val="0"/>
        <w:overflowPunct w:val="0"/>
        <w:spacing w:before="154"/>
        <w:ind w:leftChars="48" w:left="1202" w:hangingChars="453" w:hanging="1087"/>
        <w:jc w:val="both"/>
      </w:pPr>
      <w:r>
        <w:rPr>
          <w:rFonts w:hint="eastAsia"/>
        </w:rPr>
        <w:t>第二十條</w:t>
      </w:r>
      <w:r>
        <w:tab/>
      </w:r>
      <w:r>
        <w:rPr>
          <w:rFonts w:hint="eastAsia"/>
        </w:rPr>
        <w:t>本準則經院</w:t>
      </w:r>
      <w:bookmarkStart w:id="0" w:name="_GoBack"/>
      <w:bookmarkEnd w:id="0"/>
      <w:r w:rsidRPr="00003068">
        <w:rPr>
          <w:rFonts w:hint="eastAsia"/>
        </w:rPr>
        <w:t>教</w:t>
      </w:r>
      <w:r w:rsidR="00577151" w:rsidRPr="00003068">
        <w:rPr>
          <w:rFonts w:hint="eastAsia"/>
        </w:rPr>
        <w:t>評</w:t>
      </w:r>
      <w:r w:rsidRPr="00003068">
        <w:rPr>
          <w:rFonts w:hint="eastAsia"/>
        </w:rPr>
        <w:t>會議</w:t>
      </w:r>
      <w:r>
        <w:rPr>
          <w:rFonts w:hint="eastAsia"/>
        </w:rPr>
        <w:t>通過，報校教師評審委員會備查後實施，修正時亦同。</w:t>
      </w:r>
    </w:p>
    <w:sectPr w:rsidR="00AD761B" w:rsidSect="00EF6C9C">
      <w:pgSz w:w="11910" w:h="16850"/>
      <w:pgMar w:top="1060" w:right="995" w:bottom="1418"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24" w:rsidRDefault="005D7624" w:rsidP="005054EF">
      <w:r>
        <w:separator/>
      </w:r>
    </w:p>
  </w:endnote>
  <w:endnote w:type="continuationSeparator" w:id="0">
    <w:p w:rsidR="005D7624" w:rsidRDefault="005D7624" w:rsidP="0050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24" w:rsidRDefault="005D7624" w:rsidP="005054EF">
      <w:r>
        <w:separator/>
      </w:r>
    </w:p>
  </w:footnote>
  <w:footnote w:type="continuationSeparator" w:id="0">
    <w:p w:rsidR="005D7624" w:rsidRDefault="005D7624" w:rsidP="0050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EF"/>
    <w:rsid w:val="00003068"/>
    <w:rsid w:val="000B5492"/>
    <w:rsid w:val="00111B29"/>
    <w:rsid w:val="00124913"/>
    <w:rsid w:val="0017228B"/>
    <w:rsid w:val="001736E1"/>
    <w:rsid w:val="001B1CF0"/>
    <w:rsid w:val="001F3D9A"/>
    <w:rsid w:val="0028473B"/>
    <w:rsid w:val="002C711C"/>
    <w:rsid w:val="00303254"/>
    <w:rsid w:val="00381432"/>
    <w:rsid w:val="003F187F"/>
    <w:rsid w:val="0041140E"/>
    <w:rsid w:val="00463A01"/>
    <w:rsid w:val="004C6BEC"/>
    <w:rsid w:val="005054EF"/>
    <w:rsid w:val="00521645"/>
    <w:rsid w:val="005740D8"/>
    <w:rsid w:val="00577151"/>
    <w:rsid w:val="005D7624"/>
    <w:rsid w:val="005E00E8"/>
    <w:rsid w:val="0061456F"/>
    <w:rsid w:val="00644512"/>
    <w:rsid w:val="006B62F3"/>
    <w:rsid w:val="009D2201"/>
    <w:rsid w:val="00A67098"/>
    <w:rsid w:val="00AD761B"/>
    <w:rsid w:val="00CF1244"/>
    <w:rsid w:val="00D61EF8"/>
    <w:rsid w:val="00D67609"/>
    <w:rsid w:val="00EB5055"/>
    <w:rsid w:val="00EF6C9C"/>
    <w:rsid w:val="00F82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61D8EA-D20F-442C-BD6F-E0DC3E2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Cs w:val="24"/>
    </w:rPr>
  </w:style>
  <w:style w:type="paragraph" w:styleId="1">
    <w:name w:val="heading 1"/>
    <w:basedOn w:val="a"/>
    <w:next w:val="a"/>
    <w:link w:val="10"/>
    <w:uiPriority w:val="1"/>
    <w:qFormat/>
    <w:pPr>
      <w:ind w:left="115"/>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5"/>
      <w:ind w:left="115"/>
    </w:pPr>
  </w:style>
  <w:style w:type="character" w:customStyle="1" w:styleId="a4">
    <w:name w:val="本文 字元"/>
    <w:basedOn w:val="a0"/>
    <w:link w:val="a3"/>
    <w:uiPriority w:val="99"/>
    <w:semiHidden/>
    <w:rPr>
      <w:rFonts w:ascii="標楷體" w:eastAsia="標楷體" w:hAnsi="Times New Roman" w:cs="標楷體"/>
      <w:kern w:val="0"/>
      <w:szCs w:val="24"/>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rPr>
      <w:rFonts w:ascii="Times New Roman" w:eastAsiaTheme="minorEastAsia" w:cs="Times New Roman"/>
    </w:rPr>
  </w:style>
  <w:style w:type="paragraph" w:styleId="a6">
    <w:name w:val="header"/>
    <w:basedOn w:val="a"/>
    <w:link w:val="a7"/>
    <w:uiPriority w:val="99"/>
    <w:unhideWhenUsed/>
    <w:rsid w:val="005054EF"/>
    <w:pPr>
      <w:tabs>
        <w:tab w:val="center" w:pos="4153"/>
        <w:tab w:val="right" w:pos="8306"/>
      </w:tabs>
      <w:snapToGrid w:val="0"/>
    </w:pPr>
    <w:rPr>
      <w:sz w:val="20"/>
      <w:szCs w:val="20"/>
    </w:rPr>
  </w:style>
  <w:style w:type="character" w:customStyle="1" w:styleId="a7">
    <w:name w:val="頁首 字元"/>
    <w:basedOn w:val="a0"/>
    <w:link w:val="a6"/>
    <w:uiPriority w:val="99"/>
    <w:rsid w:val="005054EF"/>
    <w:rPr>
      <w:rFonts w:ascii="標楷體" w:eastAsia="標楷體" w:hAnsi="Times New Roman" w:cs="標楷體"/>
      <w:kern w:val="0"/>
      <w:sz w:val="20"/>
      <w:szCs w:val="20"/>
    </w:rPr>
  </w:style>
  <w:style w:type="paragraph" w:styleId="a8">
    <w:name w:val="footer"/>
    <w:basedOn w:val="a"/>
    <w:link w:val="a9"/>
    <w:uiPriority w:val="99"/>
    <w:unhideWhenUsed/>
    <w:rsid w:val="005054EF"/>
    <w:pPr>
      <w:tabs>
        <w:tab w:val="center" w:pos="4153"/>
        <w:tab w:val="right" w:pos="8306"/>
      </w:tabs>
      <w:snapToGrid w:val="0"/>
    </w:pPr>
    <w:rPr>
      <w:sz w:val="20"/>
      <w:szCs w:val="20"/>
    </w:rPr>
  </w:style>
  <w:style w:type="character" w:customStyle="1" w:styleId="a9">
    <w:name w:val="頁尾 字元"/>
    <w:basedOn w:val="a0"/>
    <w:link w:val="a8"/>
    <w:uiPriority w:val="99"/>
    <w:rsid w:val="005054EF"/>
    <w:rPr>
      <w:rFonts w:ascii="標楷體" w:eastAsia="標楷體" w:hAnsi="Times New Roman" w:cs="標楷體"/>
      <w:kern w:val="0"/>
      <w:sz w:val="20"/>
      <w:szCs w:val="20"/>
    </w:rPr>
  </w:style>
  <w:style w:type="paragraph" w:customStyle="1" w:styleId="Default">
    <w:name w:val="Default"/>
    <w:rsid w:val="0041140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國立澎湖海事管理專科學校教師聘任暨升等辦法</dc:title>
  <dc:subject/>
  <dc:creator>澎湖海專</dc:creator>
  <cp:keywords/>
  <dc:description/>
  <cp:lastModifiedBy>user</cp:lastModifiedBy>
  <cp:revision>2</cp:revision>
  <cp:lastPrinted>2023-06-29T02:13:00Z</cp:lastPrinted>
  <dcterms:created xsi:type="dcterms:W3CDTF">2023-10-19T06:19:00Z</dcterms:created>
  <dcterms:modified xsi:type="dcterms:W3CDTF">2023-10-19T06:19:00Z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